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6F18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Central African Republic Infant Mortality</w:t>
      </w:r>
    </w:p>
    <w:p w:rsidR="008E0845" w:rsidRDefault="008E0845">
      <w:pPr>
        <w:contextualSpacing w:val="0"/>
        <w:jc w:val="center"/>
        <w:rPr>
          <w:rFonts w:ascii="Times New Roman" w:eastAsia="Times New Roman" w:hAnsi="Times New Roman" w:cs="Times New Roman"/>
          <w:sz w:val="24"/>
          <w:szCs w:val="24"/>
        </w:rPr>
      </w:pPr>
    </w:p>
    <w:p w:rsidR="008E0845" w:rsidRDefault="006F18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Lizette Romano</w:t>
      </w:r>
    </w:p>
    <w:p w:rsidR="008E0845" w:rsidRDefault="008E0845">
      <w:pPr>
        <w:contextualSpacing w:val="0"/>
        <w:jc w:val="center"/>
        <w:rPr>
          <w:rFonts w:ascii="Times New Roman" w:eastAsia="Times New Roman" w:hAnsi="Times New Roman" w:cs="Times New Roman"/>
          <w:sz w:val="24"/>
          <w:szCs w:val="24"/>
        </w:rPr>
      </w:pPr>
    </w:p>
    <w:p w:rsidR="008E0845" w:rsidRDefault="006F18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HSC 400: Descriptive Epidemiological Paper</w:t>
      </w: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jc w:val="center"/>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8E0845" w:rsidRDefault="008E0845">
      <w:pPr>
        <w:contextualSpacing w:val="0"/>
        <w:rPr>
          <w:rFonts w:ascii="Times New Roman" w:eastAsia="Times New Roman" w:hAnsi="Times New Roman" w:cs="Times New Roman"/>
          <w:sz w:val="24"/>
          <w:szCs w:val="24"/>
        </w:rPr>
      </w:pPr>
    </w:p>
    <w:p w:rsidR="004D5EFA" w:rsidRDefault="004D5EFA">
      <w:pPr>
        <w:spacing w:line="480" w:lineRule="auto"/>
        <w:contextualSpacing w:val="0"/>
        <w:jc w:val="center"/>
        <w:rPr>
          <w:rFonts w:ascii="Times New Roman" w:eastAsia="Times New Roman" w:hAnsi="Times New Roman" w:cs="Times New Roman"/>
          <w:sz w:val="24"/>
          <w:szCs w:val="24"/>
        </w:rPr>
      </w:pPr>
    </w:p>
    <w:p w:rsidR="008E0845" w:rsidRDefault="006F180A">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Infant mortality in the Central African Republic, 2013-2017</w:t>
      </w:r>
    </w:p>
    <w:p w:rsidR="008E0845" w:rsidRDefault="00154932">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World Bank (2018a), i</w:t>
      </w:r>
      <w:r w:rsidR="006F180A">
        <w:rPr>
          <w:rFonts w:ascii="Times New Roman" w:eastAsia="Times New Roman" w:hAnsi="Times New Roman" w:cs="Times New Roman"/>
          <w:sz w:val="24"/>
          <w:szCs w:val="24"/>
        </w:rPr>
        <w:t>n 2013</w:t>
      </w:r>
      <w:r>
        <w:rPr>
          <w:rFonts w:ascii="Times New Roman" w:eastAsia="Times New Roman" w:hAnsi="Times New Roman" w:cs="Times New Roman"/>
          <w:sz w:val="24"/>
          <w:szCs w:val="24"/>
        </w:rPr>
        <w:t xml:space="preserve"> </w:t>
      </w:r>
      <w:r w:rsidR="006F180A">
        <w:rPr>
          <w:rFonts w:ascii="Times New Roman" w:eastAsia="Times New Roman" w:hAnsi="Times New Roman" w:cs="Times New Roman"/>
          <w:sz w:val="24"/>
          <w:szCs w:val="24"/>
        </w:rPr>
        <w:t xml:space="preserve">the Central African Republic [CAR] surpassed Sierra Leone as the country with the highest infant mortality rate in the </w:t>
      </w:r>
      <w:r w:rsidR="006F180A" w:rsidRPr="00154932">
        <w:rPr>
          <w:rFonts w:ascii="Times New Roman" w:eastAsia="Times New Roman" w:hAnsi="Times New Roman" w:cs="Times New Roman"/>
          <w:sz w:val="24"/>
          <w:szCs w:val="24"/>
        </w:rPr>
        <w:t>world</w:t>
      </w:r>
      <w:r w:rsidR="006F180A">
        <w:rPr>
          <w:rFonts w:ascii="Times New Roman" w:eastAsia="Times New Roman" w:hAnsi="Times New Roman" w:cs="Times New Roman"/>
          <w:sz w:val="24"/>
          <w:szCs w:val="24"/>
        </w:rPr>
        <w:t xml:space="preserve">. Since then, the CAR has continued to have the highest infant mortality </w:t>
      </w:r>
      <w:r>
        <w:rPr>
          <w:rFonts w:ascii="Times New Roman" w:eastAsia="Times New Roman" w:hAnsi="Times New Roman" w:cs="Times New Roman"/>
          <w:sz w:val="24"/>
          <w:szCs w:val="24"/>
        </w:rPr>
        <w:t xml:space="preserve">rate </w:t>
      </w:r>
      <w:r w:rsidR="006F180A">
        <w:rPr>
          <w:rFonts w:ascii="Times New Roman" w:eastAsia="Times New Roman" w:hAnsi="Times New Roman" w:cs="Times New Roman"/>
          <w:sz w:val="24"/>
          <w:szCs w:val="24"/>
        </w:rPr>
        <w:t xml:space="preserve">with a rate of 87.6 deaths for every 1,000 live births as of 2017 (World Bank, 2018a). Infant mortality is the number of infants who die under the age of one for every 1,000 babies born alive.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Infant mortality is an important topic to address because according to the World Health Organization [WHO] (2018), 75% of deaths in the “under-five” category happen before a child can reach their first birthday. </w:t>
      </w:r>
      <w:proofErr w:type="gramStart"/>
      <w:r>
        <w:rPr>
          <w:rFonts w:ascii="Times New Roman" w:eastAsia="Times New Roman" w:hAnsi="Times New Roman" w:cs="Times New Roman"/>
          <w:sz w:val="24"/>
          <w:szCs w:val="24"/>
        </w:rPr>
        <w:t>With this in mind it</w:t>
      </w:r>
      <w:proofErr w:type="gramEnd"/>
      <w:r>
        <w:rPr>
          <w:rFonts w:ascii="Times New Roman" w:eastAsia="Times New Roman" w:hAnsi="Times New Roman" w:cs="Times New Roman"/>
          <w:sz w:val="24"/>
          <w:szCs w:val="24"/>
        </w:rPr>
        <w:t xml:space="preserve"> is important to note that Sub-Saharan Africa, the region that the CAR is part of, accounts for 50% of under-five deaths in the world (United Nations International Children’s Emergency Fund [UNICEF], 2018a).</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Agent and Condition</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Infant mortality </w:t>
      </w:r>
      <w:r w:rsidR="00DE10F3">
        <w:rPr>
          <w:rFonts w:ascii="Times New Roman" w:eastAsia="Times New Roman" w:hAnsi="Times New Roman" w:cs="Times New Roman"/>
          <w:sz w:val="24"/>
          <w:szCs w:val="24"/>
        </w:rPr>
        <w:t xml:space="preserve">accounts for deaths </w:t>
      </w:r>
      <w:r>
        <w:rPr>
          <w:rFonts w:ascii="Times New Roman" w:eastAsia="Times New Roman" w:hAnsi="Times New Roman" w:cs="Times New Roman"/>
          <w:sz w:val="24"/>
          <w:szCs w:val="24"/>
        </w:rPr>
        <w:t xml:space="preserve">anytime from birth until the first year of life. In the CAR, some determinants for infant mortality include low socioeconomic status (SES), exposure to an infectious disease, healthcare access, cultural norms, and gender. Gender will be discussed in the host factors of infant mortality. Exposure to an infectious disease is further explained in the environmental factors section. Low SES, healthcare access, and cultural norms will be discussed further in the SES section. Although exposure to an infectious disease can be a determinant for infant mortality, infant mortality is not transmitted by an infectious agent because an infant’s death would not be a condition spread to other infants.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Being born preterm, without access to health care, exposed to an infectious disease, or incurring other factors mentioned </w:t>
      </w:r>
      <w:r w:rsidR="00DE10F3">
        <w:rPr>
          <w:rFonts w:ascii="Times New Roman" w:eastAsia="Times New Roman" w:hAnsi="Times New Roman" w:cs="Times New Roman"/>
          <w:sz w:val="24"/>
          <w:szCs w:val="24"/>
        </w:rPr>
        <w:t xml:space="preserve">previously </w:t>
      </w:r>
      <w:r>
        <w:rPr>
          <w:rFonts w:ascii="Times New Roman" w:eastAsia="Times New Roman" w:hAnsi="Times New Roman" w:cs="Times New Roman"/>
          <w:sz w:val="24"/>
          <w:szCs w:val="24"/>
        </w:rPr>
        <w:t xml:space="preserve">are some of the characteristics of infant mortality. A child that is born preterm faces lower survival rates if there is a lack of access to proper health care because of complications due to being preterm and the cost of treatments (United States Department of Health and Human Services [USDHHS], 2018).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Mechanisms to control</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In surrounding Sub-Saharan African regions, infant mortality ha</w:t>
      </w:r>
      <w:r w:rsidR="00DE10F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been controlled with increased healthcare access and by incorporating comprehensive maternal care to women who are pregnant (UNICEF, 2018b); other methods include access to electricity, clean water, and soap. Increased healthcare access allows women to have access to doctors, nurses, and midwives which are all shown to affect infant mortality rates. In the CAR, there are about 3 of the previously mentioned healthcare providers for every 10,000 people (UNICEF, 2018b). This puts CAR as one of the regions in the world with the lowest available health care staff for its people. Healthcare providers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provide services, resources, and knowledge to help mothers maintain a healthy pregnancy or care for a preterm child. Both these factors affect infant mortality.</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O’Hare, </w:t>
      </w:r>
      <w:proofErr w:type="spellStart"/>
      <w:r>
        <w:rPr>
          <w:rFonts w:ascii="Times New Roman" w:eastAsia="Times New Roman" w:hAnsi="Times New Roman" w:cs="Times New Roman"/>
          <w:sz w:val="24"/>
          <w:szCs w:val="24"/>
        </w:rPr>
        <w:t>Makuta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Chiwaula</w:t>
      </w:r>
      <w:proofErr w:type="spellEnd"/>
      <w:r>
        <w:rPr>
          <w:rFonts w:ascii="Times New Roman" w:eastAsia="Times New Roman" w:hAnsi="Times New Roman" w:cs="Times New Roman"/>
          <w:sz w:val="24"/>
          <w:szCs w:val="24"/>
        </w:rPr>
        <w:t>, &amp; Bar-</w:t>
      </w:r>
      <w:proofErr w:type="spellStart"/>
      <w:r>
        <w:rPr>
          <w:rFonts w:ascii="Times New Roman" w:eastAsia="Times New Roman" w:hAnsi="Times New Roman" w:cs="Times New Roman"/>
          <w:sz w:val="24"/>
          <w:szCs w:val="24"/>
        </w:rPr>
        <w:t>Zeev</w:t>
      </w:r>
      <w:proofErr w:type="spellEnd"/>
      <w:r w:rsidR="00730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income and the gross domestic product (GDP) of a region are associated with lower rates of infant mortality. The GDP helps measure the income of a region whereas individual income is also important to address infant mortality rates. Some ways that the GDP of a country could be controlled are by providing aid to the country and investing in programs to help the region’s economy advance in the long run. Individual income may be consequently controlled as the GDP increases since better economies result in more jobs.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female literacy rates and infant mortality rates is shown in Appendix A (</w:t>
      </w:r>
      <w:proofErr w:type="spellStart"/>
      <w:r>
        <w:rPr>
          <w:rFonts w:ascii="Times New Roman" w:eastAsia="Times New Roman" w:hAnsi="Times New Roman" w:cs="Times New Roman"/>
          <w:sz w:val="24"/>
          <w:szCs w:val="24"/>
        </w:rPr>
        <w:t>Susuman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Chialepeh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Lailulo</w:t>
      </w:r>
      <w:proofErr w:type="spellEnd"/>
      <w:r>
        <w:rPr>
          <w:rFonts w:ascii="Times New Roman" w:eastAsia="Times New Roman" w:hAnsi="Times New Roman" w:cs="Times New Roman"/>
          <w:sz w:val="24"/>
          <w:szCs w:val="24"/>
        </w:rPr>
        <w:t xml:space="preserve">, 2016); there is an inverse relationship between these two since lower female literacy rates were associated with higher infant mortality rates. One way to control for high infant mortality would be to increase female literacy in the region. This allows mothers to be educated about keeping themselves and their child healthy during pregnancy, after, and about any complications their child may have that decreases their chance of survival.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Host Factors</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Sex and gender are the biggest factors in infants for infant mortality in </w:t>
      </w:r>
      <w:r w:rsidR="00DE10F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CAR. According to Smith-</w:t>
      </w:r>
      <w:proofErr w:type="spellStart"/>
      <w:r>
        <w:rPr>
          <w:rFonts w:ascii="Times New Roman" w:eastAsia="Times New Roman" w:hAnsi="Times New Roman" w:cs="Times New Roman"/>
          <w:sz w:val="24"/>
          <w:szCs w:val="24"/>
        </w:rPr>
        <w:t>greenaway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Trinitapoli</w:t>
      </w:r>
      <w:proofErr w:type="spellEnd"/>
      <w:r>
        <w:rPr>
          <w:rFonts w:ascii="Times New Roman" w:eastAsia="Times New Roman" w:hAnsi="Times New Roman" w:cs="Times New Roman"/>
          <w:sz w:val="24"/>
          <w:szCs w:val="24"/>
        </w:rPr>
        <w:t xml:space="preserve"> (2014), in many regions of Sub-Saharan Africa boys are preferred over girls. This preference could affect the quality of treatment received before or after birth for girls if the parent does not want a girl. If girls are receiving poorer treatment or are experiencing poorer lives after birth, their survival rate decreases (Smith-</w:t>
      </w:r>
      <w:proofErr w:type="spellStart"/>
      <w:r>
        <w:rPr>
          <w:rFonts w:ascii="Times New Roman" w:eastAsia="Times New Roman" w:hAnsi="Times New Roman" w:cs="Times New Roman"/>
          <w:sz w:val="24"/>
          <w:szCs w:val="24"/>
        </w:rPr>
        <w:t>greenaway</w:t>
      </w:r>
      <w:proofErr w:type="spellEnd"/>
      <w:r w:rsidR="00730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Trinitapoli</w:t>
      </w:r>
      <w:proofErr w:type="spellEnd"/>
      <w:r>
        <w:rPr>
          <w:rFonts w:ascii="Times New Roman" w:eastAsia="Times New Roman" w:hAnsi="Times New Roman" w:cs="Times New Roman"/>
          <w:sz w:val="24"/>
          <w:szCs w:val="24"/>
        </w:rPr>
        <w:t xml:space="preserve">, 2014). Although sex and gender are not the same, for the CAR, the assigned gender would be the gender correspondent to the child’s sex at birth.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SES</w:t>
      </w:r>
    </w:p>
    <w:p w:rsidR="008E0845" w:rsidRDefault="006F180A">
      <w:pPr>
        <w:spacing w:line="480" w:lineRule="auto"/>
        <w:contextualSpacing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Income, occupation, education, family structure, and cultural background all play roles in the rates of infant mortality in the Sub-Saharan </w:t>
      </w:r>
      <w:r w:rsidR="00DE10F3">
        <w:rPr>
          <w:rFonts w:ascii="Times New Roman" w:eastAsia="Times New Roman" w:hAnsi="Times New Roman" w:cs="Times New Roman"/>
          <w:sz w:val="24"/>
          <w:szCs w:val="24"/>
        </w:rPr>
        <w:t xml:space="preserve">African </w:t>
      </w:r>
      <w:r>
        <w:rPr>
          <w:rFonts w:ascii="Times New Roman" w:eastAsia="Times New Roman" w:hAnsi="Times New Roman" w:cs="Times New Roman"/>
          <w:sz w:val="24"/>
          <w:szCs w:val="24"/>
        </w:rPr>
        <w:t>region, and more specifically the CAR subregion. According to Appendix B, for places with the highest infant mortality rates a substantial amount of GDP investment is required to help subdue economic influences on infant mortality (O’Hare</w:t>
      </w:r>
      <w:r w:rsidR="00653F4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2013). </w:t>
      </w:r>
      <w:r w:rsidR="00313169">
        <w:rPr>
          <w:rFonts w:ascii="Times New Roman" w:eastAsia="Times New Roman" w:hAnsi="Times New Roman" w:cs="Times New Roman"/>
          <w:sz w:val="24"/>
          <w:szCs w:val="24"/>
        </w:rPr>
        <w:t>The amount of investment needed</w:t>
      </w:r>
      <w:r>
        <w:rPr>
          <w:rFonts w:ascii="Times New Roman" w:eastAsia="Times New Roman" w:hAnsi="Times New Roman" w:cs="Times New Roman"/>
          <w:sz w:val="24"/>
          <w:szCs w:val="24"/>
        </w:rPr>
        <w:t xml:space="preserve"> is alarming and may be a strong factor in the infant mortality rate in </w:t>
      </w:r>
      <w:r w:rsidR="0031316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CAR</w:t>
      </w:r>
      <w:r w:rsidR="003131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316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2013, there was a sharp economic drop for </w:t>
      </w:r>
      <w:r w:rsidR="0031316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CAR that stayed low for about two years as can be seen in Appendix C (</w:t>
      </w:r>
      <w:r>
        <w:rPr>
          <w:rFonts w:ascii="Times New Roman" w:eastAsia="Times New Roman" w:hAnsi="Times New Roman" w:cs="Times New Roman"/>
          <w:sz w:val="24"/>
          <w:szCs w:val="24"/>
          <w:highlight w:val="white"/>
        </w:rPr>
        <w:t xml:space="preserve">World Bank, 2018b); there has been growth after 2015 but a drastic decline in the economy often affects people much longer. </w:t>
      </w:r>
    </w:p>
    <w:p w:rsidR="008E0845" w:rsidRDefault="006F180A">
      <w:pPr>
        <w:spacing w:line="480" w:lineRule="auto"/>
        <w:contextualSpacing w:val="0"/>
        <w:rPr>
          <w:rFonts w:ascii="Roboto" w:eastAsia="Roboto" w:hAnsi="Roboto" w:cs="Roboto"/>
          <w:color w:val="333333"/>
          <w:sz w:val="20"/>
          <w:szCs w:val="20"/>
          <w:highlight w:val="white"/>
        </w:rPr>
      </w:pPr>
      <w:r>
        <w:rPr>
          <w:rFonts w:ascii="Times New Roman" w:eastAsia="Times New Roman" w:hAnsi="Times New Roman" w:cs="Times New Roman"/>
          <w:sz w:val="24"/>
          <w:szCs w:val="24"/>
          <w:highlight w:val="white"/>
        </w:rPr>
        <w:tab/>
        <w:t>As discussed previously, female literacy plays an important role in decreasing rates of infant mortality. Low female literacy rates have been associated with higher infant mortality rates (</w:t>
      </w:r>
      <w:proofErr w:type="spellStart"/>
      <w:r>
        <w:rPr>
          <w:rFonts w:ascii="Times New Roman" w:eastAsia="Times New Roman" w:hAnsi="Times New Roman" w:cs="Times New Roman"/>
          <w:sz w:val="24"/>
          <w:szCs w:val="24"/>
        </w:rPr>
        <w:t>Susuman</w:t>
      </w:r>
      <w:proofErr w:type="spellEnd"/>
      <w:r w:rsidR="00653F4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2016)</w:t>
      </w:r>
      <w:r>
        <w:rPr>
          <w:rFonts w:ascii="Times New Roman" w:eastAsia="Times New Roman" w:hAnsi="Times New Roman" w:cs="Times New Roman"/>
          <w:sz w:val="24"/>
          <w:szCs w:val="24"/>
          <w:highlight w:val="white"/>
        </w:rPr>
        <w:t xml:space="preserve">. Family structure and cultural beliefs might be intertwined with low female literacy. In a culture where women </w:t>
      </w:r>
      <w:proofErr w:type="gramStart"/>
      <w:r>
        <w:rPr>
          <w:rFonts w:ascii="Times New Roman" w:eastAsia="Times New Roman" w:hAnsi="Times New Roman" w:cs="Times New Roman"/>
          <w:sz w:val="24"/>
          <w:szCs w:val="24"/>
          <w:highlight w:val="white"/>
        </w:rPr>
        <w:t>are seen as</w:t>
      </w:r>
      <w:proofErr w:type="gramEnd"/>
      <w:r>
        <w:rPr>
          <w:rFonts w:ascii="Times New Roman" w:eastAsia="Times New Roman" w:hAnsi="Times New Roman" w:cs="Times New Roman"/>
          <w:sz w:val="24"/>
          <w:szCs w:val="24"/>
          <w:highlight w:val="white"/>
        </w:rPr>
        <w:t xml:space="preserve"> less than men, they are also less likely to receive education and know about their reproductive health (</w:t>
      </w:r>
      <w:r>
        <w:rPr>
          <w:rFonts w:ascii="Times New Roman" w:eastAsia="Times New Roman" w:hAnsi="Times New Roman" w:cs="Times New Roman"/>
          <w:sz w:val="24"/>
          <w:szCs w:val="24"/>
        </w:rPr>
        <w:t>Smith-</w:t>
      </w:r>
      <w:proofErr w:type="spellStart"/>
      <w:r>
        <w:rPr>
          <w:rFonts w:ascii="Times New Roman" w:eastAsia="Times New Roman" w:hAnsi="Times New Roman" w:cs="Times New Roman"/>
          <w:sz w:val="24"/>
          <w:szCs w:val="24"/>
        </w:rPr>
        <w:t>greenaway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Trinitapoli</w:t>
      </w:r>
      <w:proofErr w:type="spellEnd"/>
      <w:r>
        <w:rPr>
          <w:rFonts w:ascii="Times New Roman" w:eastAsia="Times New Roman" w:hAnsi="Times New Roman" w:cs="Times New Roman"/>
          <w:sz w:val="24"/>
          <w:szCs w:val="24"/>
        </w:rPr>
        <w:t>, 2014). Cultural norms of acceptable family structures also play a role in infant mortality. Smith-</w:t>
      </w:r>
      <w:proofErr w:type="spellStart"/>
      <w:r>
        <w:rPr>
          <w:rFonts w:ascii="Times New Roman" w:eastAsia="Times New Roman" w:hAnsi="Times New Roman" w:cs="Times New Roman"/>
          <w:sz w:val="24"/>
          <w:szCs w:val="24"/>
        </w:rPr>
        <w:t>greenaway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Trinitapoli</w:t>
      </w:r>
      <w:proofErr w:type="spellEnd"/>
      <w:r>
        <w:rPr>
          <w:rFonts w:ascii="Times New Roman" w:eastAsia="Times New Roman" w:hAnsi="Times New Roman" w:cs="Times New Roman"/>
          <w:sz w:val="24"/>
          <w:szCs w:val="24"/>
        </w:rPr>
        <w:t xml:space="preserve"> (2014) found that polygamous relationships had higher rates of infant </w:t>
      </w:r>
      <w:r>
        <w:rPr>
          <w:rFonts w:ascii="Times New Roman" w:eastAsia="Times New Roman" w:hAnsi="Times New Roman" w:cs="Times New Roman"/>
          <w:sz w:val="24"/>
          <w:szCs w:val="24"/>
        </w:rPr>
        <w:lastRenderedPageBreak/>
        <w:t>mortality because of gender inequality and a lack of access to resources. The exception to having higher rates was in places that polygamy was less common since these places often had more equal gender roles and were less likely to view the women as property (Smith-</w:t>
      </w:r>
      <w:proofErr w:type="spellStart"/>
      <w:r>
        <w:rPr>
          <w:rFonts w:ascii="Times New Roman" w:eastAsia="Times New Roman" w:hAnsi="Times New Roman" w:cs="Times New Roman"/>
          <w:sz w:val="24"/>
          <w:szCs w:val="24"/>
        </w:rPr>
        <w:t>greenaway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Trinitapoli</w:t>
      </w:r>
      <w:proofErr w:type="spellEnd"/>
      <w:r>
        <w:rPr>
          <w:rFonts w:ascii="Times New Roman" w:eastAsia="Times New Roman" w:hAnsi="Times New Roman" w:cs="Times New Roman"/>
          <w:sz w:val="24"/>
          <w:szCs w:val="24"/>
        </w:rPr>
        <w:t xml:space="preserve">, 2014); </w:t>
      </w:r>
      <w:proofErr w:type="gramStart"/>
      <w:r>
        <w:rPr>
          <w:rFonts w:ascii="Times New Roman" w:eastAsia="Times New Roman" w:hAnsi="Times New Roman" w:cs="Times New Roman"/>
          <w:sz w:val="24"/>
          <w:szCs w:val="24"/>
        </w:rPr>
        <w:t>being seen as</w:t>
      </w:r>
      <w:proofErr w:type="gramEnd"/>
      <w:r>
        <w:rPr>
          <w:rFonts w:ascii="Times New Roman" w:eastAsia="Times New Roman" w:hAnsi="Times New Roman" w:cs="Times New Roman"/>
          <w:sz w:val="24"/>
          <w:szCs w:val="24"/>
        </w:rPr>
        <w:t xml:space="preserve"> property increased the likelihood of women working during the</w:t>
      </w:r>
      <w:r w:rsidR="00313169">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pregnancy.</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Factors</w:t>
      </w:r>
    </w:p>
    <w:p w:rsidR="008E0845" w:rsidRDefault="006F180A">
      <w:pPr>
        <w:spacing w:line="480" w:lineRule="auto"/>
        <w:contextualSpacing w:val="0"/>
        <w:rPr>
          <w:sz w:val="20"/>
          <w:szCs w:val="20"/>
          <w:highlight w:val="white"/>
        </w:rPr>
      </w:pPr>
      <w:r>
        <w:rPr>
          <w:rFonts w:ascii="Times New Roman" w:eastAsia="Times New Roman" w:hAnsi="Times New Roman" w:cs="Times New Roman"/>
          <w:sz w:val="24"/>
          <w:szCs w:val="24"/>
        </w:rPr>
        <w:tab/>
        <w:t>Environmental factors that increase the likelihood of infant mortality rates being high include exposure to an infectious disease and geographic location. Rural areas where women are more likely to spend their times working out on farms to make income are more likely to experience higher infant mortality rates (Smith-</w:t>
      </w:r>
      <w:proofErr w:type="spellStart"/>
      <w:r>
        <w:rPr>
          <w:rFonts w:ascii="Times New Roman" w:eastAsia="Times New Roman" w:hAnsi="Times New Roman" w:cs="Times New Roman"/>
          <w:sz w:val="24"/>
          <w:szCs w:val="24"/>
        </w:rPr>
        <w:t>greenaway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Trinitapoli</w:t>
      </w:r>
      <w:proofErr w:type="spellEnd"/>
      <w:r>
        <w:rPr>
          <w:rFonts w:ascii="Times New Roman" w:eastAsia="Times New Roman" w:hAnsi="Times New Roman" w:cs="Times New Roman"/>
          <w:sz w:val="24"/>
          <w:szCs w:val="24"/>
        </w:rPr>
        <w:t xml:space="preserve">, 2014); this could also be due to having less healthcare services available nearby or not knowing they are pregnant until later in the pregnancy. Not accessing services </w:t>
      </w:r>
      <w:proofErr w:type="gramStart"/>
      <w:r>
        <w:rPr>
          <w:rFonts w:ascii="Times New Roman" w:eastAsia="Times New Roman" w:hAnsi="Times New Roman" w:cs="Times New Roman"/>
          <w:sz w:val="24"/>
          <w:szCs w:val="24"/>
        </w:rPr>
        <w:t>early on in the</w:t>
      </w:r>
      <w:proofErr w:type="gramEnd"/>
      <w:r>
        <w:rPr>
          <w:rFonts w:ascii="Times New Roman" w:eastAsia="Times New Roman" w:hAnsi="Times New Roman" w:cs="Times New Roman"/>
          <w:sz w:val="24"/>
          <w:szCs w:val="24"/>
        </w:rPr>
        <w:t xml:space="preserve"> pregnancy can increase the probability of complications after birth such as having to care for a preterm baby. An exposure to an infectious disease such as sepsis, meningitis, or pneumonia could cause serious complications in an infant and when left untreated can lead to </w:t>
      </w:r>
      <w:r w:rsidR="0031316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death </w:t>
      </w:r>
      <w:r w:rsidR="00313169">
        <w:rPr>
          <w:rFonts w:ascii="Times New Roman" w:eastAsia="Times New Roman" w:hAnsi="Times New Roman" w:cs="Times New Roman"/>
          <w:sz w:val="24"/>
          <w:szCs w:val="24"/>
        </w:rPr>
        <w:t xml:space="preserve">of the infant </w:t>
      </w:r>
      <w:r>
        <w:rPr>
          <w:rFonts w:ascii="Times New Roman" w:eastAsia="Times New Roman" w:hAnsi="Times New Roman" w:cs="Times New Roman"/>
          <w:sz w:val="24"/>
          <w:szCs w:val="24"/>
        </w:rPr>
        <w:t xml:space="preserve">(UNICEF, 2018b).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Temporal variations </w:t>
      </w:r>
    </w:p>
    <w:p w:rsidR="004D5EFA" w:rsidRDefault="006F180A" w:rsidP="004D5EF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Infant mortality rates in</w:t>
      </w:r>
      <w:r w:rsidR="00313169">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CAR from 2013-2017 </w:t>
      </w:r>
      <w:proofErr w:type="gramStart"/>
      <w:r>
        <w:rPr>
          <w:rFonts w:ascii="Times New Roman" w:eastAsia="Times New Roman" w:hAnsi="Times New Roman" w:cs="Times New Roman"/>
          <w:sz w:val="24"/>
          <w:szCs w:val="24"/>
        </w:rPr>
        <w:t>can be seen as</w:t>
      </w:r>
      <w:proofErr w:type="gramEnd"/>
      <w:r>
        <w:rPr>
          <w:rFonts w:ascii="Times New Roman" w:eastAsia="Times New Roman" w:hAnsi="Times New Roman" w:cs="Times New Roman"/>
          <w:sz w:val="24"/>
          <w:szCs w:val="24"/>
        </w:rPr>
        <w:t xml:space="preserve"> an epidemic because more cases have occurred than what is thought to be the normal amount of cases.  Infant mortality rates should be addressed for the CAR because it surpasses its neighboring regions. Appendix D shows a downward linear progression of Sub-Saharan infant mortality rates from 2013-2017 with current rates at 51.5 (World Bank, 2018c). In comparison, Appendix E portrays a similar downward trend in the CAR but a slower decline from 2016-2017, with current rates at 87.6 (World Bank, 2018d). When comparing both graphs, one can see the disparity in infant mortality rates between the main Sub-Saharan</w:t>
      </w:r>
      <w:r w:rsidR="00313169">
        <w:rPr>
          <w:rFonts w:ascii="Times New Roman" w:eastAsia="Times New Roman" w:hAnsi="Times New Roman" w:cs="Times New Roman"/>
          <w:sz w:val="24"/>
          <w:szCs w:val="24"/>
        </w:rPr>
        <w:t xml:space="preserve"> African</w:t>
      </w:r>
      <w:r>
        <w:rPr>
          <w:rFonts w:ascii="Times New Roman" w:eastAsia="Times New Roman" w:hAnsi="Times New Roman" w:cs="Times New Roman"/>
          <w:sz w:val="24"/>
          <w:szCs w:val="24"/>
        </w:rPr>
        <w:t xml:space="preserve"> region and the CAR subregion.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current hypothesis</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current hypotheses for the high rates of infant mortality in </w:t>
      </w:r>
      <w:r w:rsidR="0031316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CAR include lack of access to healthcare providers and services, low SES families,</w:t>
      </w:r>
      <w:r w:rsidR="004D5EFA">
        <w:rPr>
          <w:rFonts w:ascii="Times New Roman" w:eastAsia="Times New Roman" w:hAnsi="Times New Roman" w:cs="Times New Roman"/>
          <w:sz w:val="24"/>
          <w:szCs w:val="24"/>
        </w:rPr>
        <w:t xml:space="preserve"> polygamous relationships,</w:t>
      </w:r>
      <w:r>
        <w:rPr>
          <w:rFonts w:ascii="Times New Roman" w:eastAsia="Times New Roman" w:hAnsi="Times New Roman" w:cs="Times New Roman"/>
          <w:sz w:val="24"/>
          <w:szCs w:val="24"/>
        </w:rPr>
        <w:t xml:space="preserve"> and low female literacy rates. These hypotheses are formed around structural systems </w:t>
      </w:r>
      <w:r w:rsidR="00313169">
        <w:rPr>
          <w:rFonts w:ascii="Times New Roman" w:eastAsia="Times New Roman" w:hAnsi="Times New Roman" w:cs="Times New Roman"/>
          <w:sz w:val="24"/>
          <w:szCs w:val="24"/>
        </w:rPr>
        <w:t xml:space="preserve">of the CAR </w:t>
      </w:r>
      <w:r>
        <w:rPr>
          <w:rFonts w:ascii="Times New Roman" w:eastAsia="Times New Roman" w:hAnsi="Times New Roman" w:cs="Times New Roman"/>
          <w:sz w:val="24"/>
          <w:szCs w:val="24"/>
        </w:rPr>
        <w:t xml:space="preserve">such as political and cultural issues with gender equality, healthcare access for lower income populations, and the educational system for women in the CAR region. </w:t>
      </w:r>
      <w:r w:rsidR="004D5EFA">
        <w:rPr>
          <w:rFonts w:ascii="Times New Roman" w:eastAsia="Times New Roman" w:hAnsi="Times New Roman" w:cs="Times New Roman"/>
          <w:sz w:val="24"/>
          <w:szCs w:val="24"/>
        </w:rPr>
        <w:t xml:space="preserve">Low SES families may share the characteristic of </w:t>
      </w:r>
      <w:r w:rsidR="00533B2D">
        <w:rPr>
          <w:rFonts w:ascii="Times New Roman" w:eastAsia="Times New Roman" w:hAnsi="Times New Roman" w:cs="Times New Roman"/>
          <w:sz w:val="24"/>
          <w:szCs w:val="24"/>
        </w:rPr>
        <w:t>lacking access to healthcare</w:t>
      </w:r>
      <w:r w:rsidR="00313169">
        <w:rPr>
          <w:rFonts w:ascii="Times New Roman" w:eastAsia="Times New Roman" w:hAnsi="Times New Roman" w:cs="Times New Roman"/>
          <w:sz w:val="24"/>
          <w:szCs w:val="24"/>
        </w:rPr>
        <w:t xml:space="preserve"> and therefore poorer nutrition or</w:t>
      </w:r>
      <w:r w:rsidR="00533B2D">
        <w:rPr>
          <w:rFonts w:ascii="Times New Roman" w:eastAsia="Times New Roman" w:hAnsi="Times New Roman" w:cs="Times New Roman"/>
          <w:sz w:val="24"/>
          <w:szCs w:val="24"/>
        </w:rPr>
        <w:t xml:space="preserve"> </w:t>
      </w:r>
      <w:r w:rsidR="004D5EFA">
        <w:rPr>
          <w:rFonts w:ascii="Times New Roman" w:eastAsia="Times New Roman" w:hAnsi="Times New Roman" w:cs="Times New Roman"/>
          <w:sz w:val="24"/>
          <w:szCs w:val="24"/>
        </w:rPr>
        <w:t>having a low female literacy rate because education may be too expensive</w:t>
      </w:r>
      <w:r w:rsidR="00313169">
        <w:rPr>
          <w:rFonts w:ascii="Times New Roman" w:eastAsia="Times New Roman" w:hAnsi="Times New Roman" w:cs="Times New Roman"/>
          <w:sz w:val="24"/>
          <w:szCs w:val="24"/>
        </w:rPr>
        <w:t xml:space="preserve">. </w:t>
      </w:r>
      <w:r w:rsidR="004D5EFA">
        <w:rPr>
          <w:rFonts w:ascii="Times New Roman" w:eastAsia="Times New Roman" w:hAnsi="Times New Roman" w:cs="Times New Roman"/>
          <w:sz w:val="24"/>
          <w:szCs w:val="24"/>
        </w:rPr>
        <w:t>For polygamous relationships, the hypothesis is that there may be gender inequality or unequal resources provided</w:t>
      </w:r>
      <w:r w:rsidR="00313169">
        <w:rPr>
          <w:rFonts w:ascii="Times New Roman" w:eastAsia="Times New Roman" w:hAnsi="Times New Roman" w:cs="Times New Roman"/>
          <w:sz w:val="24"/>
          <w:szCs w:val="24"/>
        </w:rPr>
        <w:t xml:space="preserve"> for the women involved</w:t>
      </w:r>
      <w:r w:rsidR="004D5EFA">
        <w:rPr>
          <w:rFonts w:ascii="Times New Roman" w:eastAsia="Times New Roman" w:hAnsi="Times New Roman" w:cs="Times New Roman"/>
          <w:sz w:val="24"/>
          <w:szCs w:val="24"/>
        </w:rPr>
        <w:t>.</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Gaps in knowledge/further research</w:t>
      </w:r>
    </w:p>
    <w:p w:rsidR="004D5EFA"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Gaps in knowledge exist regarding whether female infants truly receive poorer care and </w:t>
      </w:r>
      <w:r w:rsidR="00313169">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unequal care </w:t>
      </w:r>
      <w:r w:rsidR="00313169">
        <w:rPr>
          <w:rFonts w:ascii="Times New Roman" w:eastAsia="Times New Roman" w:hAnsi="Times New Roman" w:cs="Times New Roman"/>
          <w:sz w:val="24"/>
          <w:szCs w:val="24"/>
        </w:rPr>
        <w:t xml:space="preserve">towards them </w:t>
      </w:r>
      <w:r>
        <w:rPr>
          <w:rFonts w:ascii="Times New Roman" w:eastAsia="Times New Roman" w:hAnsi="Times New Roman" w:cs="Times New Roman"/>
          <w:sz w:val="24"/>
          <w:szCs w:val="24"/>
        </w:rPr>
        <w:t xml:space="preserve">has also been exhibited by healthcare providers. Gaps also exist regarding cultural norms, economic impact, single mothers, and women’s perspectives of the issue. </w:t>
      </w:r>
      <w:r w:rsidR="004D5EFA" w:rsidRPr="004D5EFA">
        <w:rPr>
          <w:rFonts w:ascii="Times New Roman" w:eastAsia="Times New Roman" w:hAnsi="Times New Roman" w:cs="Times New Roman"/>
          <w:sz w:val="24"/>
          <w:szCs w:val="24"/>
        </w:rPr>
        <w:t xml:space="preserve">Additional epidemiological variables that </w:t>
      </w:r>
      <w:r w:rsidR="004D5EFA">
        <w:rPr>
          <w:rFonts w:ascii="Times New Roman" w:eastAsia="Times New Roman" w:hAnsi="Times New Roman" w:cs="Times New Roman"/>
          <w:sz w:val="24"/>
          <w:szCs w:val="24"/>
        </w:rPr>
        <w:t>may be</w:t>
      </w:r>
      <w:r w:rsidR="004D5EFA" w:rsidRPr="004D5EFA">
        <w:rPr>
          <w:rFonts w:ascii="Times New Roman" w:eastAsia="Times New Roman" w:hAnsi="Times New Roman" w:cs="Times New Roman"/>
          <w:sz w:val="24"/>
          <w:szCs w:val="24"/>
        </w:rPr>
        <w:t xml:space="preserve"> involved are the distribution of populations in rural</w:t>
      </w:r>
      <w:r w:rsidR="004D5EFA">
        <w:rPr>
          <w:rFonts w:ascii="Times New Roman" w:eastAsia="Times New Roman" w:hAnsi="Times New Roman" w:cs="Times New Roman"/>
          <w:sz w:val="24"/>
          <w:szCs w:val="24"/>
        </w:rPr>
        <w:t xml:space="preserve"> and urban areas, ethnicity for groups in the CAR region with higher infant mortality rates, nativity, and migration. Data is currently unavailable for these variables in the specific CAR region. </w:t>
      </w:r>
    </w:p>
    <w:p w:rsidR="008E0845" w:rsidRPr="004D5EFA" w:rsidRDefault="006F180A" w:rsidP="004D5EF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research should explore biases of healthcare providers in treating different genders and families with low SES.  Further research should also explore specific cultural norms to the CAR region, the economic impact of infant mortality for the people of the region, differences in single moms, and </w:t>
      </w:r>
      <w:r w:rsidRPr="004D5EFA">
        <w:rPr>
          <w:rFonts w:ascii="Times New Roman" w:eastAsia="Times New Roman" w:hAnsi="Times New Roman" w:cs="Times New Roman"/>
          <w:sz w:val="24"/>
          <w:szCs w:val="24"/>
        </w:rPr>
        <w:t>conduct qualitative studies about why rates of infant mortality</w:t>
      </w:r>
      <w:r w:rsidR="00313169">
        <w:rPr>
          <w:rFonts w:ascii="Times New Roman" w:eastAsia="Times New Roman" w:hAnsi="Times New Roman" w:cs="Times New Roman"/>
          <w:sz w:val="24"/>
          <w:szCs w:val="24"/>
        </w:rPr>
        <w:t xml:space="preserve"> are so high</w:t>
      </w:r>
      <w:r w:rsidRPr="004D5EFA">
        <w:rPr>
          <w:rFonts w:ascii="Times New Roman" w:eastAsia="Times New Roman" w:hAnsi="Times New Roman" w:cs="Times New Roman"/>
          <w:sz w:val="24"/>
          <w:szCs w:val="24"/>
        </w:rPr>
        <w:t xml:space="preserve">. </w:t>
      </w:r>
      <w:r w:rsidR="00533B2D">
        <w:rPr>
          <w:rFonts w:ascii="Times New Roman" w:eastAsia="Times New Roman" w:hAnsi="Times New Roman" w:cs="Times New Roman"/>
          <w:sz w:val="24"/>
          <w:szCs w:val="24"/>
        </w:rPr>
        <w:t xml:space="preserve">Further research should also explore </w:t>
      </w:r>
      <w:r w:rsidR="00313169">
        <w:rPr>
          <w:rFonts w:ascii="Times New Roman" w:eastAsia="Times New Roman" w:hAnsi="Times New Roman" w:cs="Times New Roman"/>
          <w:sz w:val="24"/>
          <w:szCs w:val="24"/>
        </w:rPr>
        <w:t xml:space="preserve">the </w:t>
      </w:r>
      <w:r w:rsidR="00533B2D">
        <w:rPr>
          <w:rFonts w:ascii="Times New Roman" w:eastAsia="Times New Roman" w:hAnsi="Times New Roman" w:cs="Times New Roman"/>
          <w:sz w:val="24"/>
          <w:szCs w:val="24"/>
        </w:rPr>
        <w:t xml:space="preserve">CAR </w:t>
      </w:r>
      <w:r w:rsidR="00154932">
        <w:rPr>
          <w:rFonts w:ascii="Times New Roman" w:eastAsia="Times New Roman" w:hAnsi="Times New Roman" w:cs="Times New Roman"/>
          <w:sz w:val="24"/>
          <w:szCs w:val="24"/>
        </w:rPr>
        <w:t xml:space="preserve">rural versus urban </w:t>
      </w:r>
      <w:r w:rsidR="00533B2D">
        <w:rPr>
          <w:rFonts w:ascii="Times New Roman" w:eastAsia="Times New Roman" w:hAnsi="Times New Roman" w:cs="Times New Roman"/>
          <w:sz w:val="24"/>
          <w:szCs w:val="24"/>
        </w:rPr>
        <w:t>distributions of the population, nativity and ethnicity status, and migration activity in the region.</w:t>
      </w:r>
    </w:p>
    <w:p w:rsidR="004D5EFA" w:rsidRPr="004D5EFA" w:rsidRDefault="004D5EFA" w:rsidP="004D5EF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D5EFA" w:rsidRDefault="004D5EFA">
      <w:pPr>
        <w:spacing w:line="480" w:lineRule="auto"/>
        <w:contextualSpacing w:val="0"/>
        <w:rPr>
          <w:rFonts w:ascii="Times New Roman" w:eastAsia="Times New Roman" w:hAnsi="Times New Roman" w:cs="Times New Roman"/>
          <w:sz w:val="24"/>
          <w:szCs w:val="24"/>
          <w:highlight w:val="yellow"/>
        </w:rPr>
      </w:pPr>
    </w:p>
    <w:p w:rsidR="008E0845" w:rsidRPr="00154932" w:rsidRDefault="006F180A">
      <w:pPr>
        <w:spacing w:line="480" w:lineRule="auto"/>
        <w:contextualSpacing w:val="0"/>
        <w:jc w:val="center"/>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lastRenderedPageBreak/>
        <w:t>References</w:t>
      </w:r>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O’Hare, B., </w:t>
      </w:r>
      <w:proofErr w:type="spellStart"/>
      <w:r w:rsidRPr="00154932">
        <w:rPr>
          <w:rFonts w:ascii="Times New Roman" w:eastAsia="Times New Roman" w:hAnsi="Times New Roman" w:cs="Times New Roman"/>
          <w:sz w:val="24"/>
          <w:szCs w:val="24"/>
        </w:rPr>
        <w:t>Makuta</w:t>
      </w:r>
      <w:proofErr w:type="spellEnd"/>
      <w:r w:rsidRPr="00154932">
        <w:rPr>
          <w:rFonts w:ascii="Times New Roman" w:eastAsia="Times New Roman" w:hAnsi="Times New Roman" w:cs="Times New Roman"/>
          <w:sz w:val="24"/>
          <w:szCs w:val="24"/>
        </w:rPr>
        <w:t xml:space="preserve">, I., </w:t>
      </w:r>
      <w:proofErr w:type="spellStart"/>
      <w:r w:rsidRPr="00154932">
        <w:rPr>
          <w:rFonts w:ascii="Times New Roman" w:eastAsia="Times New Roman" w:hAnsi="Times New Roman" w:cs="Times New Roman"/>
          <w:sz w:val="24"/>
          <w:szCs w:val="24"/>
        </w:rPr>
        <w:t>Chiwaula</w:t>
      </w:r>
      <w:proofErr w:type="spellEnd"/>
      <w:r w:rsidRPr="00154932">
        <w:rPr>
          <w:rFonts w:ascii="Times New Roman" w:eastAsia="Times New Roman" w:hAnsi="Times New Roman" w:cs="Times New Roman"/>
          <w:sz w:val="24"/>
          <w:szCs w:val="24"/>
        </w:rPr>
        <w:t>, L., &amp; Bar-</w:t>
      </w:r>
      <w:proofErr w:type="spellStart"/>
      <w:r w:rsidRPr="00154932">
        <w:rPr>
          <w:rFonts w:ascii="Times New Roman" w:eastAsia="Times New Roman" w:hAnsi="Times New Roman" w:cs="Times New Roman"/>
          <w:sz w:val="24"/>
          <w:szCs w:val="24"/>
        </w:rPr>
        <w:t>Zeev</w:t>
      </w:r>
      <w:proofErr w:type="spellEnd"/>
      <w:r w:rsidRPr="00154932">
        <w:rPr>
          <w:rFonts w:ascii="Times New Roman" w:eastAsia="Times New Roman" w:hAnsi="Times New Roman" w:cs="Times New Roman"/>
          <w:sz w:val="24"/>
          <w:szCs w:val="24"/>
        </w:rPr>
        <w:t xml:space="preserve">, N. (2013). Income and child mortality in </w:t>
      </w:r>
    </w:p>
    <w:p w:rsidR="008E0845" w:rsidRPr="00154932" w:rsidRDefault="006F180A">
      <w:pPr>
        <w:spacing w:line="480" w:lineRule="auto"/>
        <w:ind w:firstLine="720"/>
        <w:contextualSpacing w:val="0"/>
        <w:rPr>
          <w:rFonts w:ascii="Times New Roman" w:eastAsia="Times New Roman" w:hAnsi="Times New Roman" w:cs="Times New Roman"/>
          <w:i/>
          <w:sz w:val="24"/>
          <w:szCs w:val="24"/>
        </w:rPr>
      </w:pPr>
      <w:r w:rsidRPr="00154932">
        <w:rPr>
          <w:rFonts w:ascii="Times New Roman" w:eastAsia="Times New Roman" w:hAnsi="Times New Roman" w:cs="Times New Roman"/>
          <w:sz w:val="24"/>
          <w:szCs w:val="24"/>
        </w:rPr>
        <w:t xml:space="preserve">developing countries: a systematic review and meta-analysis. </w:t>
      </w:r>
      <w:r w:rsidRPr="00154932">
        <w:rPr>
          <w:rFonts w:ascii="Times New Roman" w:eastAsia="Times New Roman" w:hAnsi="Times New Roman" w:cs="Times New Roman"/>
          <w:i/>
          <w:sz w:val="24"/>
          <w:szCs w:val="24"/>
        </w:rPr>
        <w:t xml:space="preserve">Journal of the Royal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i/>
          <w:sz w:val="24"/>
          <w:szCs w:val="24"/>
        </w:rPr>
        <w:t>Society of Medicine, 106</w:t>
      </w:r>
      <w:r w:rsidRPr="00154932">
        <w:rPr>
          <w:rFonts w:ascii="Times New Roman" w:eastAsia="Times New Roman" w:hAnsi="Times New Roman" w:cs="Times New Roman"/>
          <w:sz w:val="24"/>
          <w:szCs w:val="24"/>
        </w:rPr>
        <w:t>(10), 408–414. https://doi.org/10.1177/0141076813489680</w:t>
      </w:r>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Smith-</w:t>
      </w:r>
      <w:proofErr w:type="spellStart"/>
      <w:r w:rsidRPr="00154932">
        <w:rPr>
          <w:rFonts w:ascii="Times New Roman" w:eastAsia="Times New Roman" w:hAnsi="Times New Roman" w:cs="Times New Roman"/>
          <w:sz w:val="24"/>
          <w:szCs w:val="24"/>
        </w:rPr>
        <w:t>greenaway</w:t>
      </w:r>
      <w:proofErr w:type="spellEnd"/>
      <w:r w:rsidRPr="00154932">
        <w:rPr>
          <w:rFonts w:ascii="Times New Roman" w:eastAsia="Times New Roman" w:hAnsi="Times New Roman" w:cs="Times New Roman"/>
          <w:sz w:val="24"/>
          <w:szCs w:val="24"/>
        </w:rPr>
        <w:t xml:space="preserve">, E., &amp; </w:t>
      </w:r>
      <w:proofErr w:type="spellStart"/>
      <w:r w:rsidRPr="00154932">
        <w:rPr>
          <w:rFonts w:ascii="Times New Roman" w:eastAsia="Times New Roman" w:hAnsi="Times New Roman" w:cs="Times New Roman"/>
          <w:sz w:val="24"/>
          <w:szCs w:val="24"/>
        </w:rPr>
        <w:t>Trinitapoli</w:t>
      </w:r>
      <w:proofErr w:type="spellEnd"/>
      <w:r w:rsidRPr="00154932">
        <w:rPr>
          <w:rFonts w:ascii="Times New Roman" w:eastAsia="Times New Roman" w:hAnsi="Times New Roman" w:cs="Times New Roman"/>
          <w:sz w:val="24"/>
          <w:szCs w:val="24"/>
        </w:rPr>
        <w:t xml:space="preserve">, J. (2014). Polygynous Contexts, Family Structure, and </w:t>
      </w:r>
    </w:p>
    <w:p w:rsidR="008E0845" w:rsidRPr="00154932" w:rsidRDefault="006F180A">
      <w:pPr>
        <w:spacing w:line="480" w:lineRule="auto"/>
        <w:ind w:left="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Infant Mortality in Sub-Saharan Africa. </w:t>
      </w:r>
      <w:r w:rsidRPr="00154932">
        <w:rPr>
          <w:rFonts w:ascii="Times New Roman" w:eastAsia="Times New Roman" w:hAnsi="Times New Roman" w:cs="Times New Roman"/>
          <w:i/>
          <w:sz w:val="24"/>
          <w:szCs w:val="24"/>
        </w:rPr>
        <w:t>Demography, 51</w:t>
      </w:r>
      <w:r w:rsidRPr="00154932">
        <w:rPr>
          <w:rFonts w:ascii="Times New Roman" w:eastAsia="Times New Roman" w:hAnsi="Times New Roman" w:cs="Times New Roman"/>
          <w:sz w:val="24"/>
          <w:szCs w:val="24"/>
        </w:rPr>
        <w:t>(2), 341-66. doi:10.1007/s13524-013-0262-9</w:t>
      </w:r>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United Nations International Children’s Emergency Funds. (2018a). </w:t>
      </w:r>
      <w:r w:rsidRPr="00154932">
        <w:rPr>
          <w:rFonts w:ascii="Times New Roman" w:eastAsia="Times New Roman" w:hAnsi="Times New Roman" w:cs="Times New Roman"/>
          <w:i/>
          <w:sz w:val="24"/>
          <w:szCs w:val="24"/>
        </w:rPr>
        <w:t>Under-five mortality</w:t>
      </w:r>
      <w:r w:rsidRPr="00154932">
        <w:rPr>
          <w:rFonts w:ascii="Times New Roman" w:eastAsia="Times New Roman" w:hAnsi="Times New Roman" w:cs="Times New Roman"/>
          <w:sz w:val="24"/>
          <w:szCs w:val="24"/>
        </w:rPr>
        <w:t xml:space="preserve">.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Retrieved from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https://data.unicef.org/topic/child-survival/under-five-mortality/</w:t>
      </w:r>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United Nations International Children’s Emergency Funds. (2018b). </w:t>
      </w:r>
      <w:r w:rsidRPr="00154932">
        <w:rPr>
          <w:rFonts w:ascii="Times New Roman" w:eastAsia="Times New Roman" w:hAnsi="Times New Roman" w:cs="Times New Roman"/>
          <w:i/>
          <w:sz w:val="24"/>
          <w:szCs w:val="24"/>
        </w:rPr>
        <w:t>Every child alive report</w:t>
      </w:r>
      <w:r w:rsidRPr="00154932">
        <w:rPr>
          <w:rFonts w:ascii="Times New Roman" w:eastAsia="Times New Roman" w:hAnsi="Times New Roman" w:cs="Times New Roman"/>
          <w:sz w:val="24"/>
          <w:szCs w:val="24"/>
        </w:rPr>
        <w:t xml:space="preserve">.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6">
        <w:r w:rsidR="006F180A" w:rsidRPr="00154932">
          <w:rPr>
            <w:rFonts w:ascii="Times New Roman" w:eastAsia="Times New Roman" w:hAnsi="Times New Roman" w:cs="Times New Roman"/>
            <w:sz w:val="24"/>
            <w:szCs w:val="24"/>
          </w:rPr>
          <w:t>https://weshare.unicef.org/CS.aspx?VP3=SearchResult&amp;ALID=2AMZIF2P99KK&amp;VBI</w:t>
        </w:r>
      </w:hyperlink>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D=2AMZVNC1SZ74&amp;POPUPPN=1&amp;POPUPIID=2AMZIF2P9NLU#/</w:t>
      </w:r>
      <w:proofErr w:type="spellStart"/>
      <w:r w:rsidRPr="00154932">
        <w:rPr>
          <w:rFonts w:ascii="Times New Roman" w:eastAsia="Times New Roman" w:hAnsi="Times New Roman" w:cs="Times New Roman"/>
          <w:sz w:val="24"/>
          <w:szCs w:val="24"/>
        </w:rPr>
        <w:t>SearchResult&amp;A</w:t>
      </w:r>
      <w:proofErr w:type="spellEnd"/>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LID=2AMZIF2P99KK&amp;VBID=2AMZVNC1SZ74</w:t>
      </w:r>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United States Department of Health and Human Services, Centers for Disease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Control and Prevention. (2018). </w:t>
      </w:r>
      <w:r w:rsidRPr="00154932">
        <w:rPr>
          <w:rFonts w:ascii="Times New Roman" w:eastAsia="Times New Roman" w:hAnsi="Times New Roman" w:cs="Times New Roman"/>
          <w:i/>
          <w:sz w:val="24"/>
          <w:szCs w:val="24"/>
        </w:rPr>
        <w:t>Preterm birth</w:t>
      </w:r>
      <w:r w:rsidRPr="00154932">
        <w:rPr>
          <w:rFonts w:ascii="Times New Roman" w:eastAsia="Times New Roman" w:hAnsi="Times New Roman" w:cs="Times New Roman"/>
          <w:sz w:val="24"/>
          <w:szCs w:val="24"/>
        </w:rPr>
        <w:t xml:space="preserve">. Retrieved from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https://www.cdc.gov/reproductivehealth/maternalinfanthealth/pretermbirth.htm</w:t>
      </w:r>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World Bank. (2018a). </w:t>
      </w:r>
      <w:r w:rsidRPr="00154932">
        <w:rPr>
          <w:rFonts w:ascii="Times New Roman" w:eastAsia="Times New Roman" w:hAnsi="Times New Roman" w:cs="Times New Roman"/>
          <w:i/>
          <w:sz w:val="24"/>
          <w:szCs w:val="24"/>
        </w:rPr>
        <w:t>Mortality rate, infant (per 1,000 live births)</w:t>
      </w:r>
      <w:r w:rsidRPr="00154932">
        <w:rPr>
          <w:rFonts w:ascii="Times New Roman" w:eastAsia="Times New Roman" w:hAnsi="Times New Roman" w:cs="Times New Roman"/>
          <w:sz w:val="24"/>
          <w:szCs w:val="24"/>
        </w:rPr>
        <w:t xml:space="preserve">. 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7">
        <w:r w:rsidR="006F180A" w:rsidRPr="00154932">
          <w:rPr>
            <w:rFonts w:ascii="Times New Roman" w:eastAsia="Times New Roman" w:hAnsi="Times New Roman" w:cs="Times New Roman"/>
            <w:sz w:val="24"/>
            <w:szCs w:val="24"/>
          </w:rPr>
          <w:t>https://data.worldbank.org/indicator/SP.DYN.IMRT.IN?contextual=max&amp;end=2017&amp;loc</w:t>
        </w:r>
      </w:hyperlink>
    </w:p>
    <w:p w:rsidR="008E0845" w:rsidRPr="00154932" w:rsidRDefault="006F180A">
      <w:pPr>
        <w:spacing w:line="480" w:lineRule="auto"/>
        <w:ind w:firstLine="720"/>
        <w:contextualSpacing w:val="0"/>
        <w:rPr>
          <w:rFonts w:ascii="Times New Roman" w:eastAsia="Times New Roman" w:hAnsi="Times New Roman" w:cs="Times New Roman"/>
          <w:sz w:val="24"/>
          <w:szCs w:val="24"/>
        </w:rPr>
      </w:pPr>
      <w:proofErr w:type="spellStart"/>
      <w:r w:rsidRPr="00154932">
        <w:rPr>
          <w:rFonts w:ascii="Times New Roman" w:eastAsia="Times New Roman" w:hAnsi="Times New Roman" w:cs="Times New Roman"/>
          <w:sz w:val="24"/>
          <w:szCs w:val="24"/>
        </w:rPr>
        <w:t>ations</w:t>
      </w:r>
      <w:proofErr w:type="spellEnd"/>
      <w:r w:rsidRPr="00154932">
        <w:rPr>
          <w:rFonts w:ascii="Times New Roman" w:eastAsia="Times New Roman" w:hAnsi="Times New Roman" w:cs="Times New Roman"/>
          <w:sz w:val="24"/>
          <w:szCs w:val="24"/>
        </w:rPr>
        <w:t>=</w:t>
      </w:r>
      <w:proofErr w:type="spellStart"/>
      <w:r w:rsidRPr="00154932">
        <w:rPr>
          <w:rFonts w:ascii="Times New Roman" w:eastAsia="Times New Roman" w:hAnsi="Times New Roman" w:cs="Times New Roman"/>
          <w:sz w:val="24"/>
          <w:szCs w:val="24"/>
        </w:rPr>
        <w:t>CF&amp;start</w:t>
      </w:r>
      <w:proofErr w:type="spellEnd"/>
      <w:r w:rsidRPr="00154932">
        <w:rPr>
          <w:rFonts w:ascii="Times New Roman" w:eastAsia="Times New Roman" w:hAnsi="Times New Roman" w:cs="Times New Roman"/>
          <w:sz w:val="24"/>
          <w:szCs w:val="24"/>
        </w:rPr>
        <w:t>=2013&amp;view=chart</w:t>
      </w:r>
    </w:p>
    <w:p w:rsidR="008E0845" w:rsidRPr="00154932" w:rsidRDefault="006F180A">
      <w:pPr>
        <w:spacing w:line="480" w:lineRule="auto"/>
        <w:contextualSpacing w:val="0"/>
        <w:rPr>
          <w:rFonts w:ascii="Times New Roman" w:eastAsia="Times New Roman" w:hAnsi="Times New Roman" w:cs="Times New Roman"/>
          <w:i/>
          <w:sz w:val="24"/>
          <w:szCs w:val="24"/>
        </w:rPr>
      </w:pPr>
      <w:r w:rsidRPr="00154932">
        <w:rPr>
          <w:rFonts w:ascii="Times New Roman" w:eastAsia="Times New Roman" w:hAnsi="Times New Roman" w:cs="Times New Roman"/>
          <w:sz w:val="24"/>
          <w:szCs w:val="24"/>
        </w:rPr>
        <w:t xml:space="preserve">World Bank. (2018b). </w:t>
      </w:r>
      <w:r w:rsidRPr="00154932">
        <w:rPr>
          <w:rFonts w:ascii="Times New Roman" w:eastAsia="Times New Roman" w:hAnsi="Times New Roman" w:cs="Times New Roman"/>
          <w:i/>
          <w:sz w:val="24"/>
          <w:szCs w:val="24"/>
        </w:rPr>
        <w:t xml:space="preserve">Gross national income for Central African Republic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i/>
          <w:sz w:val="24"/>
          <w:szCs w:val="24"/>
        </w:rPr>
        <w:t xml:space="preserve">[MKTGNICFA646NWDB]. </w:t>
      </w:r>
      <w:r w:rsidRPr="00154932">
        <w:rPr>
          <w:rFonts w:ascii="Times New Roman" w:eastAsia="Times New Roman" w:hAnsi="Times New Roman" w:cs="Times New Roman"/>
          <w:sz w:val="24"/>
          <w:szCs w:val="24"/>
        </w:rPr>
        <w:t xml:space="preserve">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8">
        <w:r w:rsidR="006F180A" w:rsidRPr="00154932">
          <w:rPr>
            <w:rFonts w:ascii="Times New Roman" w:eastAsia="Times New Roman" w:hAnsi="Times New Roman" w:cs="Times New Roman"/>
            <w:sz w:val="24"/>
            <w:szCs w:val="24"/>
          </w:rPr>
          <w:t>https://fred.stlouisfed.org/series/MKTGNICFA646NWDB</w:t>
        </w:r>
      </w:hyperlink>
      <w:r w:rsidR="006F180A" w:rsidRPr="00154932">
        <w:rPr>
          <w:rFonts w:ascii="Times New Roman" w:eastAsia="Times New Roman" w:hAnsi="Times New Roman" w:cs="Times New Roman"/>
          <w:sz w:val="24"/>
          <w:szCs w:val="24"/>
        </w:rPr>
        <w:t xml:space="preserve"> </w:t>
      </w:r>
    </w:p>
    <w:p w:rsidR="008E0845" w:rsidRPr="00154932" w:rsidRDefault="006F180A">
      <w:pPr>
        <w:spacing w:line="480" w:lineRule="auto"/>
        <w:contextualSpacing w:val="0"/>
        <w:rPr>
          <w:rFonts w:ascii="Times New Roman" w:eastAsia="Times New Roman" w:hAnsi="Times New Roman" w:cs="Times New Roman"/>
          <w:i/>
          <w:sz w:val="24"/>
          <w:szCs w:val="24"/>
        </w:rPr>
      </w:pPr>
      <w:r w:rsidRPr="00154932">
        <w:rPr>
          <w:rFonts w:ascii="Times New Roman" w:eastAsia="Times New Roman" w:hAnsi="Times New Roman" w:cs="Times New Roman"/>
          <w:sz w:val="24"/>
          <w:szCs w:val="24"/>
        </w:rPr>
        <w:t>World Bank. (2018c).</w:t>
      </w:r>
      <w:r w:rsidRPr="00154932">
        <w:rPr>
          <w:rFonts w:ascii="Times New Roman" w:eastAsia="Times New Roman" w:hAnsi="Times New Roman" w:cs="Times New Roman"/>
          <w:i/>
          <w:sz w:val="24"/>
          <w:szCs w:val="24"/>
        </w:rPr>
        <w:t xml:space="preserve"> Infant mortality rate for developing countries in Sub-Saharan Africa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i/>
          <w:sz w:val="24"/>
          <w:szCs w:val="24"/>
        </w:rPr>
        <w:lastRenderedPageBreak/>
        <w:t>[SPDYNIMRTINSSA]</w:t>
      </w:r>
      <w:r w:rsidRPr="00154932">
        <w:rPr>
          <w:rFonts w:ascii="Times New Roman" w:eastAsia="Times New Roman" w:hAnsi="Times New Roman" w:cs="Times New Roman"/>
          <w:sz w:val="24"/>
          <w:szCs w:val="24"/>
        </w:rPr>
        <w:t xml:space="preserve">. 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9">
        <w:r w:rsidR="006F180A" w:rsidRPr="00154932">
          <w:rPr>
            <w:rFonts w:ascii="Times New Roman" w:eastAsia="Times New Roman" w:hAnsi="Times New Roman" w:cs="Times New Roman"/>
            <w:sz w:val="24"/>
            <w:szCs w:val="24"/>
          </w:rPr>
          <w:t>https://fred.stlouisfed.org/series/SPDYNIMRTINSSA</w:t>
        </w:r>
      </w:hyperlink>
      <w:r w:rsidR="006F180A" w:rsidRPr="00154932">
        <w:rPr>
          <w:rFonts w:ascii="Times New Roman" w:eastAsia="Times New Roman" w:hAnsi="Times New Roman" w:cs="Times New Roman"/>
          <w:sz w:val="24"/>
          <w:szCs w:val="24"/>
        </w:rPr>
        <w:t xml:space="preserve"> </w:t>
      </w:r>
    </w:p>
    <w:p w:rsidR="008E0845" w:rsidRPr="00154932" w:rsidRDefault="006F180A">
      <w:pPr>
        <w:spacing w:line="480" w:lineRule="auto"/>
        <w:contextualSpacing w:val="0"/>
        <w:rPr>
          <w:rFonts w:ascii="Times New Roman" w:eastAsia="Times New Roman" w:hAnsi="Times New Roman" w:cs="Times New Roman"/>
          <w:i/>
          <w:sz w:val="24"/>
          <w:szCs w:val="24"/>
        </w:rPr>
      </w:pPr>
      <w:r w:rsidRPr="00154932">
        <w:rPr>
          <w:rFonts w:ascii="Times New Roman" w:eastAsia="Times New Roman" w:hAnsi="Times New Roman" w:cs="Times New Roman"/>
          <w:sz w:val="24"/>
          <w:szCs w:val="24"/>
        </w:rPr>
        <w:t xml:space="preserve">World Bank. (2018d). </w:t>
      </w:r>
      <w:r w:rsidRPr="00154932">
        <w:rPr>
          <w:rFonts w:ascii="Times New Roman" w:eastAsia="Times New Roman" w:hAnsi="Times New Roman" w:cs="Times New Roman"/>
          <w:i/>
          <w:sz w:val="24"/>
          <w:szCs w:val="24"/>
        </w:rPr>
        <w:t xml:space="preserve">Infant mortality rate for the Central African Republic </w:t>
      </w:r>
    </w:p>
    <w:p w:rsidR="008E0845" w:rsidRPr="00154932" w:rsidRDefault="006F180A">
      <w:pPr>
        <w:spacing w:line="480" w:lineRule="auto"/>
        <w:ind w:firstLine="720"/>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i/>
          <w:sz w:val="24"/>
          <w:szCs w:val="24"/>
        </w:rPr>
        <w:t>[SPDYNIMRTINCAF]</w:t>
      </w:r>
      <w:r w:rsidRPr="00154932">
        <w:rPr>
          <w:rFonts w:ascii="Times New Roman" w:eastAsia="Times New Roman" w:hAnsi="Times New Roman" w:cs="Times New Roman"/>
          <w:sz w:val="24"/>
          <w:szCs w:val="24"/>
        </w:rPr>
        <w:t xml:space="preserve">. 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10">
        <w:r w:rsidR="006F180A" w:rsidRPr="00154932">
          <w:rPr>
            <w:rFonts w:ascii="Times New Roman" w:eastAsia="Times New Roman" w:hAnsi="Times New Roman" w:cs="Times New Roman"/>
            <w:sz w:val="24"/>
            <w:szCs w:val="24"/>
          </w:rPr>
          <w:t>https://fred.stlouisfed.org/series/SPDYNIMRTINCAF</w:t>
        </w:r>
      </w:hyperlink>
    </w:p>
    <w:p w:rsidR="008E0845" w:rsidRPr="00154932" w:rsidRDefault="006F180A">
      <w:pPr>
        <w:spacing w:line="480" w:lineRule="auto"/>
        <w:contextualSpacing w:val="0"/>
        <w:rPr>
          <w:rFonts w:ascii="Times New Roman" w:eastAsia="Times New Roman" w:hAnsi="Times New Roman" w:cs="Times New Roman"/>
          <w:sz w:val="24"/>
          <w:szCs w:val="24"/>
        </w:rPr>
      </w:pPr>
      <w:r w:rsidRPr="00154932">
        <w:rPr>
          <w:rFonts w:ascii="Times New Roman" w:eastAsia="Times New Roman" w:hAnsi="Times New Roman" w:cs="Times New Roman"/>
          <w:sz w:val="24"/>
          <w:szCs w:val="24"/>
        </w:rPr>
        <w:t xml:space="preserve">World Health Organization. (2018). </w:t>
      </w:r>
      <w:r w:rsidRPr="00154932">
        <w:rPr>
          <w:rFonts w:ascii="Times New Roman" w:eastAsia="Times New Roman" w:hAnsi="Times New Roman" w:cs="Times New Roman"/>
          <w:i/>
          <w:sz w:val="24"/>
          <w:szCs w:val="24"/>
        </w:rPr>
        <w:t>Infant mortality</w:t>
      </w:r>
      <w:r w:rsidRPr="00154932">
        <w:rPr>
          <w:rFonts w:ascii="Times New Roman" w:eastAsia="Times New Roman" w:hAnsi="Times New Roman" w:cs="Times New Roman"/>
          <w:sz w:val="24"/>
          <w:szCs w:val="24"/>
        </w:rPr>
        <w:t xml:space="preserve">. 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11">
        <w:r w:rsidR="006F180A" w:rsidRPr="00154932">
          <w:rPr>
            <w:rFonts w:ascii="Times New Roman" w:eastAsia="Times New Roman" w:hAnsi="Times New Roman" w:cs="Times New Roman"/>
            <w:sz w:val="24"/>
            <w:szCs w:val="24"/>
          </w:rPr>
          <w:t>http://www.who.int/gho/child_health/mortality/neonatal_infant_text/en/</w:t>
        </w:r>
      </w:hyperlink>
    </w:p>
    <w:p w:rsidR="008E0845" w:rsidRDefault="008E0845">
      <w:pPr>
        <w:spacing w:line="480" w:lineRule="auto"/>
        <w:contextualSpacing w:val="0"/>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8E0845" w:rsidRDefault="006F180A">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Appendix A</w:t>
      </w:r>
    </w:p>
    <w:p w:rsidR="008E0845" w:rsidRDefault="006F180A">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762500" cy="269557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762500" cy="2695575"/>
                    </a:xfrm>
                    <a:prstGeom prst="rect">
                      <a:avLst/>
                    </a:prstGeom>
                    <a:ln/>
                  </pic:spPr>
                </pic:pic>
              </a:graphicData>
            </a:graphic>
          </wp:inline>
        </w:drawing>
      </w:r>
    </w:p>
    <w:p w:rsidR="008E0845" w:rsidRDefault="00154932">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bookmarkStart w:id="0" w:name="_GoBack"/>
      <w:bookmarkEnd w:id="0"/>
      <w:r w:rsidR="006F180A">
        <w:rPr>
          <w:rFonts w:ascii="Times New Roman" w:eastAsia="Times New Roman" w:hAnsi="Times New Roman" w:cs="Times New Roman"/>
          <w:sz w:val="24"/>
          <w:szCs w:val="24"/>
        </w:rPr>
        <w:t xml:space="preserve">: </w:t>
      </w:r>
    </w:p>
    <w:p w:rsidR="008E0845" w:rsidRDefault="006F180A">
      <w:pPr>
        <w:spacing w:line="480" w:lineRule="auto"/>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Susuman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Chialepeh</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Bado</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Lailulo</w:t>
      </w:r>
      <w:proofErr w:type="spellEnd"/>
      <w:r>
        <w:rPr>
          <w:rFonts w:ascii="Times New Roman" w:eastAsia="Times New Roman" w:hAnsi="Times New Roman" w:cs="Times New Roman"/>
          <w:sz w:val="24"/>
          <w:szCs w:val="24"/>
        </w:rPr>
        <w:t xml:space="preserve">, Y. (2016). High infant mortality rate, high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fertility rate and very low female literacy in selected African countries.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Scandinavian Journal of Public Health, 44(1), 2-5.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https://doi-org.csulb.idm.oclc.org/10.1177%2F1403494815604765</w:t>
      </w: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8E0845" w:rsidRDefault="006F180A">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Appendix B</w:t>
      </w:r>
    </w:p>
    <w:p w:rsidR="008E0845" w:rsidRDefault="006F180A">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762500" cy="2733675"/>
            <wp:effectExtent l="0" t="0" r="0" b="0"/>
            <wp:docPr id="5"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3"/>
                    <a:srcRect/>
                    <a:stretch>
                      <a:fillRect/>
                    </a:stretch>
                  </pic:blipFill>
                  <pic:spPr>
                    <a:xfrm>
                      <a:off x="0" y="0"/>
                      <a:ext cx="4762500" cy="2733675"/>
                    </a:xfrm>
                    <a:prstGeom prst="rect">
                      <a:avLst/>
                    </a:prstGeom>
                    <a:ln/>
                  </pic:spPr>
                </pic:pic>
              </a:graphicData>
            </a:graphic>
          </wp:inline>
        </w:drawing>
      </w:r>
    </w:p>
    <w:p w:rsidR="008E0845" w:rsidRDefault="00154932">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6F180A">
        <w:rPr>
          <w:rFonts w:ascii="Times New Roman" w:eastAsia="Times New Roman" w:hAnsi="Times New Roman" w:cs="Times New Roman"/>
          <w:sz w:val="24"/>
          <w:szCs w:val="24"/>
        </w:rPr>
        <w:t xml:space="preserve">: </w:t>
      </w:r>
    </w:p>
    <w:p w:rsidR="008E0845" w:rsidRDefault="006F180A">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O’Hare, B., </w:t>
      </w:r>
      <w:proofErr w:type="spellStart"/>
      <w:r>
        <w:rPr>
          <w:rFonts w:ascii="Times New Roman" w:eastAsia="Times New Roman" w:hAnsi="Times New Roman" w:cs="Times New Roman"/>
          <w:sz w:val="24"/>
          <w:szCs w:val="24"/>
        </w:rPr>
        <w:t>Makuta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Chiwaula</w:t>
      </w:r>
      <w:proofErr w:type="spellEnd"/>
      <w:r>
        <w:rPr>
          <w:rFonts w:ascii="Times New Roman" w:eastAsia="Times New Roman" w:hAnsi="Times New Roman" w:cs="Times New Roman"/>
          <w:sz w:val="24"/>
          <w:szCs w:val="24"/>
        </w:rPr>
        <w:t>, L., &amp; Bar-</w:t>
      </w:r>
      <w:proofErr w:type="spellStart"/>
      <w:r>
        <w:rPr>
          <w:rFonts w:ascii="Times New Roman" w:eastAsia="Times New Roman" w:hAnsi="Times New Roman" w:cs="Times New Roman"/>
          <w:sz w:val="24"/>
          <w:szCs w:val="24"/>
        </w:rPr>
        <w:t>Zeev</w:t>
      </w:r>
      <w:proofErr w:type="spellEnd"/>
      <w:r>
        <w:rPr>
          <w:rFonts w:ascii="Times New Roman" w:eastAsia="Times New Roman" w:hAnsi="Times New Roman" w:cs="Times New Roman"/>
          <w:sz w:val="24"/>
          <w:szCs w:val="24"/>
        </w:rPr>
        <w:t xml:space="preserve">, N. (2013). Income and child mortality in </w:t>
      </w:r>
    </w:p>
    <w:p w:rsidR="008E0845" w:rsidRPr="00154932" w:rsidRDefault="006F180A">
      <w:pPr>
        <w:spacing w:line="480" w:lineRule="auto"/>
        <w:ind w:left="72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countries: a systematic review and meta-analysis.</w:t>
      </w:r>
      <w:r>
        <w:rPr>
          <w:rFonts w:ascii="Times New Roman" w:eastAsia="Times New Roman" w:hAnsi="Times New Roman" w:cs="Times New Roman"/>
          <w:i/>
          <w:sz w:val="24"/>
          <w:szCs w:val="24"/>
        </w:rPr>
        <w:t xml:space="preserve"> Journal of the Royal Society of Medicine, 106</w:t>
      </w:r>
      <w:r>
        <w:rPr>
          <w:rFonts w:ascii="Times New Roman" w:eastAsia="Times New Roman" w:hAnsi="Times New Roman" w:cs="Times New Roman"/>
          <w:sz w:val="24"/>
          <w:szCs w:val="24"/>
        </w:rPr>
        <w:t>(10), 408–414</w:t>
      </w:r>
      <w:r w:rsidRPr="00154932">
        <w:rPr>
          <w:rFonts w:ascii="Times New Roman" w:eastAsia="Times New Roman" w:hAnsi="Times New Roman" w:cs="Times New Roman"/>
          <w:sz w:val="24"/>
          <w:szCs w:val="24"/>
        </w:rPr>
        <w:t xml:space="preserve">. </w:t>
      </w:r>
      <w:hyperlink r:id="rId14">
        <w:r w:rsidRPr="00154932">
          <w:rPr>
            <w:rFonts w:ascii="Times New Roman" w:eastAsia="Times New Roman" w:hAnsi="Times New Roman" w:cs="Times New Roman"/>
            <w:sz w:val="24"/>
            <w:szCs w:val="24"/>
          </w:rPr>
          <w:t>https://doi.org/10.1177/0141076813489680</w:t>
        </w:r>
      </w:hyperlink>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8E0845" w:rsidRDefault="006F18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Appendix C</w:t>
      </w:r>
    </w:p>
    <w:p w:rsidR="008E0845" w:rsidRDefault="008E0845">
      <w:pPr>
        <w:contextualSpacing w:val="0"/>
        <w:rPr>
          <w:rFonts w:ascii="Times New Roman" w:eastAsia="Times New Roman" w:hAnsi="Times New Roman" w:cs="Times New Roman"/>
          <w:sz w:val="24"/>
          <w:szCs w:val="24"/>
        </w:rPr>
      </w:pPr>
    </w:p>
    <w:p w:rsidR="008E0845" w:rsidRDefault="006F180A">
      <w:pPr>
        <w:contextualSpacing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23876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943600" cy="2387600"/>
                    </a:xfrm>
                    <a:prstGeom prst="rect">
                      <a:avLst/>
                    </a:prstGeom>
                    <a:ln/>
                  </pic:spPr>
                </pic:pic>
              </a:graphicData>
            </a:graphic>
          </wp:inline>
        </w:drawing>
      </w:r>
    </w:p>
    <w:p w:rsidR="008E0845" w:rsidRDefault="00154932">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6F180A">
        <w:rPr>
          <w:rFonts w:ascii="Times New Roman" w:eastAsia="Times New Roman" w:hAnsi="Times New Roman" w:cs="Times New Roman"/>
          <w:sz w:val="24"/>
          <w:szCs w:val="24"/>
        </w:rPr>
        <w:t xml:space="preserve">: </w:t>
      </w:r>
    </w:p>
    <w:p w:rsidR="008E0845" w:rsidRDefault="006F180A">
      <w:pPr>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World Bank. (2018b). </w:t>
      </w:r>
      <w:r>
        <w:rPr>
          <w:rFonts w:ascii="Times New Roman" w:eastAsia="Times New Roman" w:hAnsi="Times New Roman" w:cs="Times New Roman"/>
          <w:i/>
          <w:sz w:val="24"/>
          <w:szCs w:val="24"/>
        </w:rPr>
        <w:t xml:space="preserve">Gross National Income for Central African Republic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[MKTGNICFA646NWDB]. </w:t>
      </w:r>
      <w:r>
        <w:rPr>
          <w:rFonts w:ascii="Times New Roman" w:eastAsia="Times New Roman" w:hAnsi="Times New Roman" w:cs="Times New Roman"/>
          <w:sz w:val="24"/>
          <w:szCs w:val="24"/>
        </w:rPr>
        <w:t xml:space="preserve">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16">
        <w:r w:rsidR="006F180A" w:rsidRPr="00154932">
          <w:rPr>
            <w:rFonts w:ascii="Times New Roman" w:eastAsia="Times New Roman" w:hAnsi="Times New Roman" w:cs="Times New Roman"/>
            <w:sz w:val="24"/>
            <w:szCs w:val="24"/>
          </w:rPr>
          <w:t>https://fred.stlouisfed.org/series/MKTGNICFA646NWDB</w:t>
        </w:r>
      </w:hyperlink>
      <w:r w:rsidR="006F180A" w:rsidRPr="00154932">
        <w:rPr>
          <w:rFonts w:ascii="Times New Roman" w:eastAsia="Times New Roman" w:hAnsi="Times New Roman" w:cs="Times New Roman"/>
          <w:sz w:val="24"/>
          <w:szCs w:val="24"/>
        </w:rPr>
        <w:t xml:space="preserve"> </w:t>
      </w: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533B2D" w:rsidRDefault="00533B2D">
      <w:pPr>
        <w:spacing w:line="480" w:lineRule="auto"/>
        <w:contextualSpacing w:val="0"/>
        <w:jc w:val="center"/>
        <w:rPr>
          <w:rFonts w:ascii="Times New Roman" w:eastAsia="Times New Roman" w:hAnsi="Times New Roman" w:cs="Times New Roman"/>
          <w:sz w:val="24"/>
          <w:szCs w:val="24"/>
        </w:rPr>
      </w:pPr>
    </w:p>
    <w:p w:rsidR="008E0845" w:rsidRDefault="006F180A">
      <w:pPr>
        <w:spacing w:line="480" w:lineRule="auto"/>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Appendix D</w:t>
      </w:r>
    </w:p>
    <w:p w:rsidR="008E0845" w:rsidRDefault="006F18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23876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943600" cy="2387600"/>
                    </a:xfrm>
                    <a:prstGeom prst="rect">
                      <a:avLst/>
                    </a:prstGeom>
                    <a:ln/>
                  </pic:spPr>
                </pic:pic>
              </a:graphicData>
            </a:graphic>
          </wp:inline>
        </w:drawing>
      </w:r>
    </w:p>
    <w:p w:rsidR="008E0845" w:rsidRDefault="00154932">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6F180A">
        <w:rPr>
          <w:rFonts w:ascii="Times New Roman" w:eastAsia="Times New Roman" w:hAnsi="Times New Roman" w:cs="Times New Roman"/>
          <w:sz w:val="24"/>
          <w:szCs w:val="24"/>
        </w:rPr>
        <w:t>:</w:t>
      </w:r>
    </w:p>
    <w:p w:rsidR="008E0845" w:rsidRDefault="006F180A">
      <w:pPr>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World Bank. (2018c).</w:t>
      </w:r>
      <w:r>
        <w:rPr>
          <w:rFonts w:ascii="Times New Roman" w:eastAsia="Times New Roman" w:hAnsi="Times New Roman" w:cs="Times New Roman"/>
          <w:i/>
          <w:sz w:val="24"/>
          <w:szCs w:val="24"/>
        </w:rPr>
        <w:t xml:space="preserve"> Infant mortality rate for developing countries in Sub-Saharan Africa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[SPDYNIMRTINSSA]</w:t>
      </w:r>
      <w:r>
        <w:rPr>
          <w:rFonts w:ascii="Times New Roman" w:eastAsia="Times New Roman" w:hAnsi="Times New Roman" w:cs="Times New Roman"/>
          <w:sz w:val="24"/>
          <w:szCs w:val="24"/>
        </w:rPr>
        <w:t xml:space="preserve">. 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18">
        <w:r w:rsidR="006F180A" w:rsidRPr="00154932">
          <w:rPr>
            <w:rFonts w:ascii="Times New Roman" w:eastAsia="Times New Roman" w:hAnsi="Times New Roman" w:cs="Times New Roman"/>
            <w:sz w:val="24"/>
            <w:szCs w:val="24"/>
          </w:rPr>
          <w:t>https://fred.stlouisfed.org/series/SPDYNIMRTINSSA</w:t>
        </w:r>
      </w:hyperlink>
      <w:r w:rsidR="006F180A" w:rsidRPr="00154932">
        <w:rPr>
          <w:rFonts w:ascii="Times New Roman" w:eastAsia="Times New Roman" w:hAnsi="Times New Roman" w:cs="Times New Roman"/>
          <w:sz w:val="24"/>
          <w:szCs w:val="24"/>
        </w:rPr>
        <w:t xml:space="preserve"> </w:t>
      </w: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533B2D" w:rsidRDefault="00533B2D">
      <w:pPr>
        <w:contextualSpacing w:val="0"/>
        <w:jc w:val="center"/>
        <w:rPr>
          <w:rFonts w:ascii="Times New Roman" w:eastAsia="Times New Roman" w:hAnsi="Times New Roman" w:cs="Times New Roman"/>
          <w:sz w:val="24"/>
          <w:szCs w:val="24"/>
        </w:rPr>
      </w:pPr>
    </w:p>
    <w:p w:rsidR="008E0845" w:rsidRDefault="006F180A">
      <w:pPr>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Appendix E</w:t>
      </w:r>
    </w:p>
    <w:p w:rsidR="008E0845" w:rsidRDefault="006F180A">
      <w:pPr>
        <w:contextualSpacing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23876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943600" cy="2387600"/>
                    </a:xfrm>
                    <a:prstGeom prst="rect">
                      <a:avLst/>
                    </a:prstGeom>
                    <a:ln/>
                  </pic:spPr>
                </pic:pic>
              </a:graphicData>
            </a:graphic>
          </wp:inline>
        </w:drawing>
      </w:r>
    </w:p>
    <w:p w:rsidR="008E0845" w:rsidRDefault="00154932">
      <w:pPr>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r w:rsidR="006F180A">
        <w:rPr>
          <w:rFonts w:ascii="Times New Roman" w:eastAsia="Times New Roman" w:hAnsi="Times New Roman" w:cs="Times New Roman"/>
          <w:sz w:val="24"/>
          <w:szCs w:val="24"/>
        </w:rPr>
        <w:t xml:space="preserve">: </w:t>
      </w:r>
    </w:p>
    <w:p w:rsidR="008E0845" w:rsidRDefault="006F180A">
      <w:pPr>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World Bank. (2018d). </w:t>
      </w:r>
      <w:r>
        <w:rPr>
          <w:rFonts w:ascii="Times New Roman" w:eastAsia="Times New Roman" w:hAnsi="Times New Roman" w:cs="Times New Roman"/>
          <w:i/>
          <w:sz w:val="24"/>
          <w:szCs w:val="24"/>
        </w:rPr>
        <w:t xml:space="preserve">Infant mortality rate for the Central African Republic </w:t>
      </w:r>
    </w:p>
    <w:p w:rsidR="008E0845" w:rsidRDefault="006F180A">
      <w:pPr>
        <w:spacing w:line="480" w:lineRule="auto"/>
        <w:ind w:firstLine="720"/>
        <w:contextualSpacing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[SPDYNIMRTINCAF]</w:t>
      </w:r>
      <w:r>
        <w:rPr>
          <w:rFonts w:ascii="Times New Roman" w:eastAsia="Times New Roman" w:hAnsi="Times New Roman" w:cs="Times New Roman"/>
          <w:sz w:val="24"/>
          <w:szCs w:val="24"/>
        </w:rPr>
        <w:t xml:space="preserve">. Retrieved from </w:t>
      </w:r>
    </w:p>
    <w:p w:rsidR="008E0845" w:rsidRPr="00154932" w:rsidRDefault="00C1548E">
      <w:pPr>
        <w:spacing w:line="480" w:lineRule="auto"/>
        <w:ind w:firstLine="720"/>
        <w:contextualSpacing w:val="0"/>
        <w:rPr>
          <w:rFonts w:ascii="Times New Roman" w:eastAsia="Times New Roman" w:hAnsi="Times New Roman" w:cs="Times New Roman"/>
          <w:sz w:val="24"/>
          <w:szCs w:val="24"/>
        </w:rPr>
      </w:pPr>
      <w:hyperlink r:id="rId20">
        <w:r w:rsidR="006F180A" w:rsidRPr="00154932">
          <w:rPr>
            <w:rFonts w:ascii="Times New Roman" w:eastAsia="Times New Roman" w:hAnsi="Times New Roman" w:cs="Times New Roman"/>
            <w:sz w:val="24"/>
            <w:szCs w:val="24"/>
          </w:rPr>
          <w:t>https://fred.stlouisfed.org/series/SPDYNIMRTINCAF</w:t>
        </w:r>
      </w:hyperlink>
    </w:p>
    <w:p w:rsidR="008E0845" w:rsidRDefault="008E0845">
      <w:pPr>
        <w:spacing w:line="480" w:lineRule="auto"/>
        <w:contextualSpacing w:val="0"/>
        <w:jc w:val="center"/>
        <w:rPr>
          <w:rFonts w:ascii="Times New Roman" w:eastAsia="Times New Roman" w:hAnsi="Times New Roman" w:cs="Times New Roman"/>
          <w:sz w:val="24"/>
          <w:szCs w:val="24"/>
        </w:rPr>
      </w:pPr>
    </w:p>
    <w:p w:rsidR="008E0845" w:rsidRDefault="008E0845">
      <w:pPr>
        <w:spacing w:line="480" w:lineRule="auto"/>
        <w:contextualSpacing w:val="0"/>
        <w:rPr>
          <w:rFonts w:ascii="Times New Roman" w:eastAsia="Times New Roman" w:hAnsi="Times New Roman" w:cs="Times New Roman"/>
          <w:sz w:val="24"/>
          <w:szCs w:val="24"/>
        </w:rPr>
      </w:pPr>
    </w:p>
    <w:sectPr w:rsidR="008E0845">
      <w:headerReference w:type="default" r:id="rId21"/>
      <w:headerReference w:type="first" r:id="rId22"/>
      <w:pgSz w:w="12240" w:h="15840"/>
      <w:pgMar w:top="1440" w:right="1440" w:bottom="63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8E" w:rsidRDefault="00C1548E">
      <w:pPr>
        <w:spacing w:line="240" w:lineRule="auto"/>
      </w:pPr>
      <w:r>
        <w:separator/>
      </w:r>
    </w:p>
  </w:endnote>
  <w:endnote w:type="continuationSeparator" w:id="0">
    <w:p w:rsidR="00C1548E" w:rsidRDefault="00C15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8E" w:rsidRDefault="00C1548E">
      <w:pPr>
        <w:spacing w:line="240" w:lineRule="auto"/>
      </w:pPr>
      <w:r>
        <w:separator/>
      </w:r>
    </w:p>
  </w:footnote>
  <w:footnote w:type="continuationSeparator" w:id="0">
    <w:p w:rsidR="00C1548E" w:rsidRDefault="00C15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845" w:rsidRDefault="006F180A">
    <w:pPr>
      <w:contextualSpacing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CENTRAL AFRICAN REPUBLIC INFANT MORTALITY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D5EFA">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845" w:rsidRDefault="006F180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CENTRAL AFRICAN REPUBLIC INFANT MORTALITY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D5EFA">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E0845"/>
    <w:rsid w:val="00154932"/>
    <w:rsid w:val="00313169"/>
    <w:rsid w:val="004D5EFA"/>
    <w:rsid w:val="00533B2D"/>
    <w:rsid w:val="00644047"/>
    <w:rsid w:val="00653F43"/>
    <w:rsid w:val="006F180A"/>
    <w:rsid w:val="007307C6"/>
    <w:rsid w:val="008E0845"/>
    <w:rsid w:val="00B02065"/>
    <w:rsid w:val="00C1548E"/>
    <w:rsid w:val="00DE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42DF"/>
  <w15:docId w15:val="{704DEDD0-BB3D-4EA1-AE84-58F666ED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ed.stlouisfed.org/series/MKTGNICFA646NWDB" TargetMode="External"/><Relationship Id="rId13" Type="http://schemas.openxmlformats.org/officeDocument/2006/relationships/image" Target="media/image2.gif"/><Relationship Id="rId18" Type="http://schemas.openxmlformats.org/officeDocument/2006/relationships/hyperlink" Target="https://fred.stlouisfed.org/series/SPDYNIMRTINSSA"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data.worldbank.org/indicator/SP.DYN.IMRT.IN?contextual=max&amp;end=2017&amp;loc" TargetMode="Externa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fred.stlouisfed.org/series/MKTGNICFA646NWDB" TargetMode="External"/><Relationship Id="rId20" Type="http://schemas.openxmlformats.org/officeDocument/2006/relationships/hyperlink" Target="https://fred.stlouisfed.org/series/SPDYNIMRTINCAF" TargetMode="External"/><Relationship Id="rId1" Type="http://schemas.openxmlformats.org/officeDocument/2006/relationships/styles" Target="styles.xml"/><Relationship Id="rId6" Type="http://schemas.openxmlformats.org/officeDocument/2006/relationships/hyperlink" Target="https://weshare.unicef.org/CS.aspx?VP3=SearchResult&amp;ALID=2AMZIF2P99KK&amp;VBI" TargetMode="External"/><Relationship Id="rId11" Type="http://schemas.openxmlformats.org/officeDocument/2006/relationships/hyperlink" Target="http://www.who.int/gho/child_health/mortality/neonatal_infant_text/en/"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fred.stlouisfed.org/series/SPDYNIMRTINCAF" TargetMode="External"/><Relationship Id="rId19"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hyperlink" Target="https://fred.stlouisfed.org/series/SPDYNIMRTINSSA" TargetMode="External"/><Relationship Id="rId14" Type="http://schemas.openxmlformats.org/officeDocument/2006/relationships/hyperlink" Target="https://doi.org/10.1177/014107681348968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2129</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Lizette Romano</cp:lastModifiedBy>
  <cp:revision>4</cp:revision>
  <dcterms:created xsi:type="dcterms:W3CDTF">2018-11-20T07:04:00Z</dcterms:created>
  <dcterms:modified xsi:type="dcterms:W3CDTF">2018-11-21T00:09:00Z</dcterms:modified>
</cp:coreProperties>
</file>